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>
      <w:tblPr>
        <w:tblStyle w:val="Table"/>
        <w:tblW w:type="pct" w:w="5000"/>
        <w:tblLayout w:type="fixed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on"/>
        </w:trPr>
        <w:tc>
          <w:tcPr/>
          <w:p>
            <w:pPr>
              <w:pStyle w:val="Compact"/>
              <w:jc w:val="left"/>
            </w:pPr>
            <w:r>
              <w:t xml:space="preserve">Cell with text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Cell with text</w:t>
            </w:r>
          </w:p>
        </w:tc>
      </w:tr>
      <w:tr>
        <w:tc>
          <w:tcPr/>
          <w:p>
            <w:pPr>
              <w:numPr>
                <w:ilvl w:val="0"/>
                <w:numId w:val="1001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1"/>
              </w:numPr>
              <w:jc w:val="left"/>
            </w:pPr>
            <w:r>
              <w:t xml:space="preserve">Bullet list</w:t>
            </w:r>
          </w:p>
        </w:tc>
        <w:tc>
          <w:tcPr/>
          <w:p>
            <w:pPr>
              <w:numPr>
                <w:ilvl w:val="0"/>
                <w:numId w:val="1002"/>
              </w:numPr>
              <w:jc w:val="left"/>
            </w:pPr>
            <w:r>
              <w:t xml:space="preserve">Cell with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A</w:t>
            </w:r>
          </w:p>
          <w:p>
            <w:pPr>
              <w:numPr>
                <w:ilvl w:val="0"/>
                <w:numId w:val="1002"/>
              </w:numPr>
              <w:jc w:val="left"/>
            </w:pPr>
            <w:r>
              <w:t xml:space="preserve">Numbered list.</w:t>
            </w:r>
          </w:p>
        </w:tc>
      </w:tr>
    </w:tbl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0000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411">
    <w:nsid w:val="00A9941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decimal"/>
      <w:lvlText w:val="%2."/>
      <w:lvlJc w:val="left"/>
      <w:pPr>
        <w:ind w:left="1440" w:hanging="480"/>
      </w:pPr>
    </w:lvl>
    <w:lvl w:ilvl="2">
      <w:start w:val="1"/>
      <w:numFmt w:val="decimal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decimal"/>
      <w:lvlText w:val="%5."/>
      <w:lvlJc w:val="left"/>
      <w:pPr>
        <w:ind w:left="3600" w:hanging="480"/>
      </w:pPr>
    </w:lvl>
    <w:lvl w:ilvl="5">
      <w:start w:val="1"/>
      <w:numFmt w:val="decimal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decimal"/>
      <w:lvlText w:val="%8."/>
      <w:lvlJc w:val="left"/>
      <w:pPr>
        <w:ind w:left="5760" w:hanging="480"/>
      </w:pPr>
    </w:lvl>
    <w:lvl w:ilvl="8">
      <w:start w:val="1"/>
      <w:numFmt w:val="decimal"/>
      <w:lvlText w:val="%9."/>
      <w:lvlJc w:val="left"/>
      <w:pPr>
        <w:ind w:left="6480" w:hanging="480"/>
      </w:pPr>
    </w:lvl>
  </w:abstractNum>
  <w:num w:numId="1000">
    <w:abstractNumId w:val="990"/>
  </w:num>
  <w:num w:numId="1001">
    <w:abstractNumId w:val="991"/>
  </w:num>
  <w:num w:numId="1002">
    <w:abstractNumId w:val="994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0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footnotePr>
    <w:footnote w:id="-1"/>
    <w:footnote w:id="0"/>
  </w:footnotePr>
  <w:rsids>
  </w:rsids>
  <w:themeFontLang w:val="en-US"/>
  <w:clrSchemeMapping w:accent1="accent1" w:accent2="accent2" w:accent3="accent3" w:accent4="accent4" w:accent5="accent5" w:accent6="accent6" w:bg1="light1" w:bg2="light2" w:followedHyperlink="followedHyperlink" w:hyperlink="hyperlink" w:t1="dark1" w:t2="dark2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276" w:defLockedState="0" w:defQFormat="0" w:defSemiHidden="0" w:defUIPriority="0" w:defUnhideWhenUsed="0"/>
  <w:style w:default="1" w:styleId="Normal" w:type="paragraph">
    <w:name w:val="Normal"/>
    <w:qFormat/>
  </w:style>
  <w:style w:styleId="BodyText" w:type="paragraph">
    <w:name w:val="Body Text"/>
    <w:basedOn w:val="Normal"/>
    <w:link w:val="BodyTextChar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keepNext/>
      <w:keepLines/>
      <w:spacing w:after="240" w:before="240"/>
      <w:jc w:val="center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Title" w:type="paragraph">
    <w:name w:val="Abstract Title"/>
    <w:basedOn w:val="Normal"/>
    <w:next w:val="Abstract"/>
    <w:qFormat/>
    <w:pPr>
      <w:keepNext/>
      <w:keepLines/>
      <w:spacing w:after="0" w:before="300"/>
      <w:jc w:val="center"/>
    </w:pPr>
    <w:rPr>
      <w:b/>
      <w:color w:val="345A8A"/>
      <w:sz w:val="20"/>
      <w:szCs w:val="20"/>
    </w:r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100"/>
    </w:pPr>
    <w:rPr>
      <w:sz w:val="20"/>
      <w:szCs w:val="20"/>
    </w:rPr>
  </w:style>
  <w:style w:styleId="Bibliography" w:type="paragraph">
    <w:name w:val="Bibliography"/>
    <w:basedOn w:val="Normal"/>
    <w:next w:val="Bibliography"/>
    <w:qFormat/>
    <w:pPr/>
    <w:rPr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4"/>
      <w:szCs w:val="24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Cs/>
      <w:i/>
      <w:color w:themeColor="accent1" w:val="4F81BD"/>
      <w:sz w:val="24"/>
      <w:szCs w:val="24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Cs/>
      <w:color w:themeColor="accent1" w:val="4F81BD"/>
      <w:sz w:val="24"/>
      <w:szCs w:val="24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7" w:type="paragraph">
    <w:name w:val="Heading 7"/>
    <w:basedOn w:val="Normal"/>
    <w:next w:val="BodyText"/>
    <w:uiPriority w:val="9"/>
    <w:unhideWhenUsed/>
    <w:qFormat/>
    <w:pPr>
      <w:keepNext/>
      <w:keepLines/>
      <w:spacing w:after="0" w:before="200"/>
      <w:outlineLvl w:val="6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8" w:type="paragraph">
    <w:name w:val="Heading 8"/>
    <w:basedOn w:val="Normal"/>
    <w:next w:val="BodyText"/>
    <w:uiPriority w:val="9"/>
    <w:unhideWhenUsed/>
    <w:qFormat/>
    <w:pPr>
      <w:keepNext/>
      <w:keepLines/>
      <w:spacing w:after="0" w:before="200"/>
      <w:outlineLvl w:val="7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Heading9" w:type="paragraph">
    <w:name w:val="Heading 9"/>
    <w:basedOn w:val="Normal"/>
    <w:next w:val="BodyText"/>
    <w:uiPriority w:val="9"/>
    <w:unhideWhenUsed/>
    <w:qFormat/>
    <w:pPr>
      <w:keepNext/>
      <w:keepLines/>
      <w:spacing w:after="0" w:before="200"/>
      <w:outlineLvl w:val="8"/>
    </w:pPr>
    <w:rPr>
      <w:rFonts w:asciiTheme="majorHAnsi" w:cstheme="majorBidi" w:eastAsiaTheme="majorEastAsia" w:hAnsiTheme="majorHAnsi"/>
      <w:color w:themeColor="accent1" w:val="4F81BD"/>
      <w:sz w:val="24"/>
      <w:szCs w:val="24"/>
    </w:rPr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  <w:ind w:firstLine="0" w:left="480" w:right="480"/>
    </w:pPr>
  </w:style>
  <w:style w:styleId="FootnoteText" w:type="paragraph">
    <w:name w:val="Footnote Text"/>
    <w:basedOn w:val="Normal"/>
    <w:next w:val="FootnoteText"/>
    <w:uiPriority w:val="9"/>
    <w:unhideWhenUsed/>
    <w:qFormat/>
  </w:style>
  <w:style w:styleId="FootnoteBlockText" w:type="paragraph">
    <w:name w:val="Footnote Block Text"/>
    <w:basedOn w:val="Footnote Text"/>
    <w:next w:val="Footnote Text"/>
    <w:uiPriority w:val="9"/>
    <w:unhideWhenUsed/>
    <w:qFormat/>
    <w:pPr>
      <w:spacing w:after="100" w:before="100"/>
      <w:ind w:firstLine="0" w:left="480" w:right="480"/>
    </w:pPr>
  </w:style>
  <w:style w:default="1" w:styleId="DefaultParagraphFont" w:type="character">
    <w:name w:val="Default Paragraph Font"/>
    <w:semiHidden/>
    <w:unhideWhenUsed/>
  </w:style>
  <w:style w:default="1" w:styleId="Table" w:type="table">
    <w:name w:val="Table"/>
    <w:basedOn w:val="TableNormal"/>
    <w:semiHidden/>
    <w:unhideWhenUsed/>
    <w:qFormat/>
    <w:tblPr>
      <w:tblInd w:type="dxa" w:w="0"/>
      <w:tblCellMar>
        <w:top w:type="dxa" w:w="0"/>
        <w:left w:type="dxa" w:w="108"/>
        <w:bottom w:type="dxa" w:w="0"/>
        <w:right w:type="dxa" w:w="108"/>
      </w:tblCellMar>
    </w:tblPr>
    <w:tblStylePr w:type="firstRow">
      <w:tblPr>
        <w:jc w:val="left"/>
        <w:tblInd w:type="dxa" w:w="0"/>
      </w:tblPr>
      <w:trPr>
        <w:jc w:val="left"/>
      </w:trPr>
      <w:tcPr>
        <w:tcBorders>
          <w:bottom w:val="single"/>
        </w:tcBorders>
        <w:vAlign w:val="bottom"/>
      </w:tcPr>
    </w:tblStylePr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BodyTextChar"/>
    <w:pPr>
      <w:spacing w:after="120" w:before="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CaptionedFigure" w:type="paragraph">
    <w:name w:val="Captioned Figure"/>
    <w:basedOn w:val="Figure"/>
    <w:pPr>
      <w:keepNext/>
    </w:pPr>
  </w:style>
  <w:style w:customStyle="1" w:styleId="BodyTextChar" w:type="character">
    <w:name w:val="Body Text Char"/>
    <w:basedOn w:val="DefaultParagraphFont"/>
    <w:link w:val="BodyText"/>
  </w:style>
  <w:style w:customStyle="1" w:styleId="VerbatimChar" w:type="character">
    <w:name w:val="Verbatim Char"/>
    <w:basedOn w:val="BodyTextChar"/>
    <w:rPr>
      <w:rFonts w:ascii="Consolas" w:hAnsi="Consolas"/>
      <w:sz w:val="22"/>
    </w:rPr>
  </w:style>
  <w:style w:customStyle="1" w:styleId="SectionNumber" w:type="character">
    <w:name w:val="Section Number"/>
    <w:basedOn w:val="BodyTextChar"/>
  </w:style>
  <w:style w:styleId="FootnoteReference" w:type="character">
    <w:name w:val="Footnote Reference"/>
    <w:basedOn w:val="BodyTextChar"/>
    <w:rPr>
      <w:vertAlign w:val="superscript"/>
    </w:rPr>
  </w:style>
  <w:style w:styleId="Hyperlink" w:type="character">
    <w:name w:val="Hyperlink"/>
    <w:basedOn w:val="BodyText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cstheme="majorBidi" w:eastAsiaTheme="majorEastAsia" w:hAnsiTheme="majorHAnsi"/>
      <w:b w:val="0"/>
      <w:bCs w:val="0"/>
      <w:color w:themeColor="accent1" w:themeShade="BF" w:val="365F91"/>
    </w:rPr>
  </w:style>
  <w:style w:type="paragraph" w:customStyle="1" w:styleId="SourceCode">
    <w:name w:val="Source Code"/>
    <w:basedOn w:val="Normal"/>
    <w:link w:val="VerbatimChar"/>
    <w:pPr>
      <w:wordWrap w:val="off"/>
    </w:pPr>
  </w:style>
  <w:style w:type="character" w:customStyle="1" w:styleId="KeywordTok">
    <w:name w:val="KeywordTok"/>
    <w:basedOn w:val="VerbatimChar"/>
    <w:rPr>
      <w:b/>
      <w:color w:val="007020"/>
    </w:rPr>
  </w:style>
  <w:style w:type="character" w:customStyle="1" w:styleId="DataTypeTok">
    <w:name w:val="DataTypeTok"/>
    <w:basedOn w:val="VerbatimChar"/>
    <w:rPr>
      <w:color w:val="902000"/>
    </w:rPr>
  </w:style>
  <w:style w:type="character" w:customStyle="1" w:styleId="DecValTok">
    <w:name w:val="DecValTok"/>
    <w:basedOn w:val="VerbatimChar"/>
    <w:rPr>
      <w:color w:val="40a070"/>
    </w:rPr>
  </w:style>
  <w:style w:type="character" w:customStyle="1" w:styleId="BaseNTok">
    <w:name w:val="BaseNTok"/>
    <w:basedOn w:val="VerbatimChar"/>
    <w:rPr>
      <w:color w:val="40a070"/>
    </w:rPr>
  </w:style>
  <w:style w:type="character" w:customStyle="1" w:styleId="FloatTok">
    <w:name w:val="FloatTok"/>
    <w:basedOn w:val="VerbatimChar"/>
    <w:rPr>
      <w:color w:val="40a070"/>
    </w:rPr>
  </w:style>
  <w:style w:type="character" w:customStyle="1" w:styleId="ConstantTok">
    <w:name w:val="ConstantTok"/>
    <w:basedOn w:val="VerbatimChar"/>
    <w:rPr>
      <w:color w:val="880000"/>
    </w:rPr>
  </w:style>
  <w:style w:type="character" w:customStyle="1" w:styleId="CharTok">
    <w:name w:val="CharTok"/>
    <w:basedOn w:val="VerbatimChar"/>
    <w:rPr>
      <w:color w:val="4070a0"/>
    </w:rPr>
  </w:style>
  <w:style w:type="character" w:customStyle="1" w:styleId="SpecialCharTok">
    <w:name w:val="SpecialCharTok"/>
    <w:basedOn w:val="VerbatimChar"/>
    <w:rPr>
      <w:color w:val="4070a0"/>
    </w:rPr>
  </w:style>
  <w:style w:type="character" w:customStyle="1" w:styleId="StringTok">
    <w:name w:val="StringTok"/>
    <w:basedOn w:val="VerbatimChar"/>
    <w:rPr>
      <w:color w:val="4070a0"/>
    </w:rPr>
  </w:style>
  <w:style w:type="character" w:customStyle="1" w:styleId="VerbatimStringTok">
    <w:name w:val="VerbatimStringTok"/>
    <w:basedOn w:val="VerbatimChar"/>
    <w:rPr>
      <w:color w:val="4070a0"/>
    </w:rPr>
  </w:style>
  <w:style w:type="character" w:customStyle="1" w:styleId="SpecialStringTok">
    <w:name w:val="SpecialStringTok"/>
    <w:basedOn w:val="VerbatimChar"/>
    <w:rPr>
      <w:color w:val="bb6688"/>
    </w:rPr>
  </w:style>
  <w:style w:type="character" w:customStyle="1" w:styleId="ImportTok">
    <w:name w:val="ImportTok"/>
    <w:basedOn w:val="VerbatimChar"/>
    <w:rPr>
      <w:b/>
      <w:color w:val="008000"/>
    </w:rPr>
  </w:style>
  <w:style w:type="character" w:customStyle="1" w:styleId="CommentTok">
    <w:name w:val="CommentTok"/>
    <w:basedOn w:val="VerbatimChar"/>
    <w:rPr>
      <w:i/>
      <w:color w:val="60a0b0"/>
    </w:rPr>
  </w:style>
  <w:style w:type="character" w:customStyle="1" w:styleId="DocumentationTok">
    <w:name w:val="DocumentationTok"/>
    <w:basedOn w:val="VerbatimChar"/>
    <w:rPr>
      <w:i/>
      <w:color w:val="ba2121"/>
    </w:rPr>
  </w:style>
  <w:style w:type="character" w:customStyle="1" w:styleId="AnnotationTok">
    <w:name w:val="AnnotationTok"/>
    <w:basedOn w:val="VerbatimChar"/>
    <w:rPr>
      <w:b/>
      <w:i/>
      <w:color w:val="60a0b0"/>
    </w:rPr>
  </w:style>
  <w:style w:type="character" w:customStyle="1" w:styleId="CommentVarTok">
    <w:name w:val="CommentVarTok"/>
    <w:basedOn w:val="VerbatimChar"/>
    <w:rPr>
      <w:b/>
      <w:i/>
      <w:color w:val="60a0b0"/>
    </w:rPr>
  </w:style>
  <w:style w:type="character" w:customStyle="1" w:styleId="OtherTok">
    <w:name w:val="OtherTok"/>
    <w:basedOn w:val="VerbatimChar"/>
    <w:rPr>
      <w:color w:val="007020"/>
    </w:rPr>
  </w:style>
  <w:style w:type="character" w:customStyle="1" w:styleId="FunctionTok">
    <w:name w:val="FunctionTok"/>
    <w:basedOn w:val="VerbatimChar"/>
    <w:rPr>
      <w:color w:val="06287e"/>
    </w:rPr>
  </w:style>
  <w:style w:type="character" w:customStyle="1" w:styleId="VariableTok">
    <w:name w:val="VariableTok"/>
    <w:basedOn w:val="VerbatimChar"/>
    <w:rPr>
      <w:color w:val="19177c"/>
    </w:rPr>
  </w:style>
  <w:style w:type="character" w:customStyle="1" w:styleId="ControlFlowTok">
    <w:name w:val="ControlFlowTok"/>
    <w:basedOn w:val="VerbatimChar"/>
    <w:rPr>
      <w:b/>
      <w:color w:val="007020"/>
    </w:rPr>
  </w:style>
  <w:style w:type="character" w:customStyle="1" w:styleId="OperatorTok">
    <w:name w:val="OperatorTok"/>
    <w:basedOn w:val="VerbatimChar"/>
    <w:rPr>
      <w:color w:val="666666"/>
    </w:rPr>
  </w:style>
  <w:style w:type="character" w:customStyle="1" w:styleId="BuiltInTok">
    <w:name w:val="BuiltInTok"/>
    <w:basedOn w:val="VerbatimChar"/>
    <w:rPr>
      <w:color w:val="008000"/>
    </w:rPr>
  </w:style>
  <w:style w:type="character" w:customStyle="1" w:styleId="ExtensionTok">
    <w:name w:val="ExtensionTok"/>
    <w:basedOn w:val="VerbatimChar"/>
    <w:rPr/>
  </w:style>
  <w:style w:type="character" w:customStyle="1" w:styleId="PreprocessorTok">
    <w:name w:val="PreprocessorTok"/>
    <w:basedOn w:val="VerbatimChar"/>
    <w:rPr>
      <w:color w:val="bc7a00"/>
    </w:rPr>
  </w:style>
  <w:style w:type="character" w:customStyle="1" w:styleId="AttributeTok">
    <w:name w:val="AttributeTok"/>
    <w:basedOn w:val="VerbatimChar"/>
    <w:rPr>
      <w:color w:val="7d9029"/>
    </w:rPr>
  </w:style>
  <w:style w:type="character" w:customStyle="1" w:styleId="RegionMarkerTok">
    <w:name w:val="RegionMarkerTok"/>
    <w:basedOn w:val="VerbatimChar"/>
    <w:rPr/>
  </w:style>
  <w:style w:type="character" w:customStyle="1" w:styleId="InformationTok">
    <w:name w:val="InformationTok"/>
    <w:basedOn w:val="VerbatimChar"/>
    <w:rPr>
      <w:b/>
      <w:i/>
      <w:color w:val="60a0b0"/>
    </w:rPr>
  </w:style>
  <w:style w:type="character" w:customStyle="1" w:styleId="WarningTok">
    <w:name w:val="WarningTok"/>
    <w:basedOn w:val="VerbatimChar"/>
    <w:rPr>
      <w:b/>
      <w:i/>
      <w:color w:val="60a0b0"/>
    </w:rPr>
  </w:style>
  <w:style w:type="character" w:customStyle="1" w:styleId="AlertTok">
    <w:name w:val="AlertTok"/>
    <w:basedOn w:val="VerbatimChar"/>
    <w:rPr>
      <w:b/>
      <w:color w:val="ff0000"/>
    </w:rPr>
  </w:style>
  <w:style w:type="character" w:customStyle="1" w:styleId="ErrorTok">
    <w:name w:val="ErrorTok"/>
    <w:basedOn w:val="VerbatimChar"/>
    <w:rPr>
      <w:b/>
      <w:color w:val="ff0000"/>
    </w:rPr>
  </w:style>
  <w:style w:type="character" w:customStyle="1" w:styleId="NormalTok">
    <w:name w:val="NormalTok"/>
    <w:basedOn w:val="VerbatimChar"/>
    <w:rPr/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2024-02-04T06:46:13Z</dcterms:created>
  <dcterms:modified xsi:type="dcterms:W3CDTF">2024-02-04T06:46:13Z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